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21B9" w14:textId="77777777" w:rsidR="00765CE9" w:rsidRDefault="00765CE9" w:rsidP="00765CE9">
      <w:pPr>
        <w:jc w:val="center"/>
        <w:rPr>
          <w:b/>
          <w:bCs/>
        </w:rPr>
      </w:pPr>
      <w:bookmarkStart w:id="0" w:name="_Toc184798182"/>
      <w:bookmarkEnd w:id="0"/>
      <w:r>
        <w:rPr>
          <w:b/>
          <w:bCs/>
        </w:rPr>
        <w:t>VILNIAUS UNIVERSITETAS</w:t>
      </w:r>
      <w:r>
        <w:rPr>
          <w:b/>
          <w:bCs/>
        </w:rPr>
        <w:br/>
        <w:t>ŠIAULIŲ AKADEMIJA</w:t>
      </w:r>
    </w:p>
    <w:p w14:paraId="15FA75F9" w14:textId="77777777" w:rsidR="00765CE9" w:rsidRDefault="00765CE9" w:rsidP="00765CE9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REGIONŲ PLĖTROS INSTITUTAS</w:t>
      </w:r>
    </w:p>
    <w:p w14:paraId="4A775F85" w14:textId="77777777" w:rsidR="00F803C5" w:rsidRPr="009E31AA" w:rsidRDefault="00F803C5" w:rsidP="00F803C5">
      <w:pPr>
        <w:pStyle w:val="Title"/>
        <w:rPr>
          <w:sz w:val="22"/>
          <w:szCs w:val="22"/>
        </w:rPr>
      </w:pPr>
    </w:p>
    <w:p w14:paraId="60986142" w14:textId="448C9B09" w:rsidR="00F803C5" w:rsidRDefault="00F803C5" w:rsidP="00F803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MAGISTRO</w:t>
      </w:r>
      <w:r w:rsidRPr="009E31AA">
        <w:rPr>
          <w:b/>
          <w:sz w:val="22"/>
          <w:szCs w:val="22"/>
        </w:rPr>
        <w:t xml:space="preserve"> DARBO RECENZIJA</w:t>
      </w:r>
    </w:p>
    <w:p w14:paraId="61249058" w14:textId="77777777" w:rsidR="00765CE9" w:rsidRPr="009E31AA" w:rsidRDefault="00765CE9" w:rsidP="00F803C5">
      <w:pPr>
        <w:jc w:val="center"/>
        <w:rPr>
          <w:b/>
          <w:sz w:val="22"/>
          <w:szCs w:val="22"/>
        </w:rPr>
      </w:pPr>
    </w:p>
    <w:p w14:paraId="50D8090D" w14:textId="26DB9EA4" w:rsidR="00F803C5" w:rsidRPr="009E31AA" w:rsidRDefault="00F803C5" w:rsidP="00F803C5">
      <w:pPr>
        <w:jc w:val="center"/>
        <w:rPr>
          <w:sz w:val="22"/>
          <w:szCs w:val="22"/>
        </w:rPr>
      </w:pPr>
      <w:r w:rsidRPr="009E31AA">
        <w:rPr>
          <w:sz w:val="22"/>
          <w:szCs w:val="22"/>
        </w:rPr>
        <w:t xml:space="preserve">Šiauliai, </w:t>
      </w:r>
      <w:r>
        <w:rPr>
          <w:sz w:val="22"/>
          <w:szCs w:val="22"/>
        </w:rPr>
        <w:t>20</w:t>
      </w:r>
      <w:r w:rsidR="00ED3578">
        <w:rPr>
          <w:sz w:val="22"/>
          <w:szCs w:val="22"/>
        </w:rPr>
        <w:t>2</w:t>
      </w:r>
      <w:r w:rsidR="00765CE9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0F478F">
        <w:rPr>
          <w:sz w:val="22"/>
          <w:szCs w:val="22"/>
        </w:rPr>
        <w:t>XX</w:t>
      </w:r>
      <w:r>
        <w:rPr>
          <w:sz w:val="22"/>
          <w:szCs w:val="22"/>
        </w:rPr>
        <w:t>-</w:t>
      </w:r>
      <w:r w:rsidR="000F478F">
        <w:rPr>
          <w:sz w:val="22"/>
          <w:szCs w:val="22"/>
        </w:rPr>
        <w:t>XX</w:t>
      </w:r>
    </w:p>
    <w:p w14:paraId="0AE01D07" w14:textId="77777777" w:rsidR="00F803C5" w:rsidRPr="009E31AA" w:rsidRDefault="00F803C5" w:rsidP="00F803C5">
      <w:pPr>
        <w:jc w:val="center"/>
        <w:rPr>
          <w:sz w:val="22"/>
          <w:szCs w:val="22"/>
        </w:rPr>
      </w:pPr>
    </w:p>
    <w:p w14:paraId="52C65F32" w14:textId="77777777" w:rsidR="00F803C5" w:rsidRPr="009E31AA" w:rsidRDefault="00F803C5" w:rsidP="00F803C5">
      <w:pPr>
        <w:rPr>
          <w:bCs/>
          <w:i/>
          <w:iCs/>
          <w:sz w:val="22"/>
          <w:szCs w:val="22"/>
        </w:rPr>
      </w:pPr>
      <w:r w:rsidRPr="009E31AA">
        <w:rPr>
          <w:bCs/>
          <w:i/>
          <w:iCs/>
          <w:sz w:val="22"/>
          <w:szCs w:val="22"/>
        </w:rPr>
        <w:t>Studento vardas, pavardė……</w:t>
      </w:r>
      <w:r>
        <w:rPr>
          <w:bCs/>
          <w:i/>
          <w:iCs/>
          <w:sz w:val="22"/>
          <w:szCs w:val="22"/>
        </w:rPr>
        <w:t>……………………………………………………………</w:t>
      </w:r>
    </w:p>
    <w:p w14:paraId="1F3EF036" w14:textId="0C29B65E" w:rsidR="00F803C5" w:rsidRPr="009E31AA" w:rsidRDefault="00F803C5" w:rsidP="00F803C5">
      <w:pPr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>Magistro</w:t>
      </w:r>
      <w:r w:rsidRPr="009E31AA">
        <w:rPr>
          <w:bCs/>
          <w:i/>
          <w:iCs/>
          <w:sz w:val="22"/>
          <w:szCs w:val="22"/>
        </w:rPr>
        <w:t xml:space="preserve"> darbo tema …………………………………………………………………………………………………………………………………………………………………………………………………………</w:t>
      </w:r>
      <w:r w:rsidR="000F478F">
        <w:rPr>
          <w:bCs/>
          <w:i/>
          <w:iCs/>
          <w:sz w:val="22"/>
          <w:szCs w:val="22"/>
        </w:rPr>
        <w:t>………………………………………………………</w:t>
      </w:r>
    </w:p>
    <w:p w14:paraId="4C92026F" w14:textId="77777777" w:rsidR="00F803C5" w:rsidRPr="009E31AA" w:rsidRDefault="00F803C5" w:rsidP="00F803C5">
      <w:pPr>
        <w:rPr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5"/>
        <w:gridCol w:w="2660"/>
      </w:tblGrid>
      <w:tr w:rsidR="00F803C5" w:rsidRPr="009E31AA" w14:paraId="393096F1" w14:textId="77777777" w:rsidTr="000F478F">
        <w:trPr>
          <w:trHeight w:val="333"/>
        </w:trPr>
        <w:tc>
          <w:tcPr>
            <w:tcW w:w="7405" w:type="dxa"/>
            <w:shd w:val="clear" w:color="auto" w:fill="F3F3F3"/>
            <w:vAlign w:val="center"/>
          </w:tcPr>
          <w:p w14:paraId="18744CB8" w14:textId="77777777" w:rsidR="00F803C5" w:rsidRPr="009E31AA" w:rsidRDefault="00F803C5" w:rsidP="000006FB">
            <w:pPr>
              <w:jc w:val="center"/>
              <w:rPr>
                <w:b/>
              </w:rPr>
            </w:pPr>
            <w:r w:rsidRPr="009E31AA">
              <w:rPr>
                <w:b/>
                <w:i/>
                <w:sz w:val="22"/>
                <w:szCs w:val="22"/>
              </w:rPr>
              <w:t>Vertinimo kriterijai ir vertinimo pagrindimas</w:t>
            </w:r>
          </w:p>
        </w:tc>
        <w:tc>
          <w:tcPr>
            <w:tcW w:w="2660" w:type="dxa"/>
            <w:shd w:val="clear" w:color="auto" w:fill="F3F3F3"/>
            <w:vAlign w:val="center"/>
          </w:tcPr>
          <w:p w14:paraId="40AFF401" w14:textId="77777777" w:rsidR="00F803C5" w:rsidRPr="009E31AA" w:rsidRDefault="00F803C5" w:rsidP="000006FB">
            <w:pPr>
              <w:jc w:val="center"/>
              <w:rPr>
                <w:i/>
              </w:rPr>
            </w:pPr>
            <w:r w:rsidRPr="009E31AA">
              <w:rPr>
                <w:b/>
                <w:bCs/>
                <w:i/>
                <w:iCs/>
                <w:sz w:val="22"/>
                <w:szCs w:val="22"/>
              </w:rPr>
              <w:t>Pažymėkite vieną iš variantų</w:t>
            </w:r>
          </w:p>
        </w:tc>
      </w:tr>
      <w:tr w:rsidR="00F803C5" w:rsidRPr="009E31AA" w14:paraId="49A81C32" w14:textId="77777777" w:rsidTr="000F478F">
        <w:trPr>
          <w:trHeight w:val="1089"/>
        </w:trPr>
        <w:tc>
          <w:tcPr>
            <w:tcW w:w="7405" w:type="dxa"/>
          </w:tcPr>
          <w:p w14:paraId="181B6775" w14:textId="77777777" w:rsidR="00F803C5" w:rsidRPr="004808D7" w:rsidRDefault="00F803C5" w:rsidP="000006FB">
            <w:pPr>
              <w:spacing w:before="120"/>
            </w:pPr>
            <w:r w:rsidRPr="004808D7">
              <w:rPr>
                <w:iCs/>
                <w:sz w:val="22"/>
                <w:szCs w:val="22"/>
              </w:rPr>
              <w:t>1.</w:t>
            </w:r>
            <w:r w:rsidRPr="004808D7">
              <w:rPr>
                <w:sz w:val="22"/>
                <w:szCs w:val="22"/>
              </w:rPr>
              <w:t xml:space="preserve"> Tyrimo problemos, darbo tikslo, uždavinių ir/arba probleminių klausimų aktualumas ir pagrindimas naujausiomis tos šakos mokslo teorijomis, hipotezės (jei ji yra reikalinga) pagrįstumas</w:t>
            </w:r>
          </w:p>
          <w:p w14:paraId="6E5CA70D" w14:textId="1174840C" w:rsidR="00F803C5" w:rsidRPr="004808D7" w:rsidRDefault="00F803C5" w:rsidP="000F478F">
            <w:pPr>
              <w:spacing w:before="120"/>
              <w:jc w:val="both"/>
            </w:pPr>
            <w:r w:rsidRPr="004808D7">
              <w:rPr>
                <w:sz w:val="22"/>
                <w:szCs w:val="22"/>
              </w:rPr>
              <w:t>.</w:t>
            </w:r>
            <w:r w:rsidRPr="000F478F">
              <w:rPr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60" w:type="dxa"/>
          </w:tcPr>
          <w:p w14:paraId="73819CB9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4E6660EA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8A0C6A7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5AF1BFBF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0755DC61" w14:textId="77777777" w:rsidR="00F803C5" w:rsidRPr="009E31AA" w:rsidRDefault="00F803C5" w:rsidP="000006FB">
            <w:pPr>
              <w:rPr>
                <w:i/>
              </w:rPr>
            </w:pPr>
          </w:p>
          <w:p w14:paraId="03F42E7D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9E31AA" w14:paraId="74CDE241" w14:textId="77777777" w:rsidTr="000F478F">
        <w:trPr>
          <w:trHeight w:val="1133"/>
        </w:trPr>
        <w:tc>
          <w:tcPr>
            <w:tcW w:w="7405" w:type="dxa"/>
          </w:tcPr>
          <w:p w14:paraId="514E7923" w14:textId="77777777" w:rsidR="00F803C5" w:rsidRPr="004808D7" w:rsidRDefault="00F803C5" w:rsidP="000006FB">
            <w:pPr>
              <w:pStyle w:val="NormalWeb"/>
              <w:tabs>
                <w:tab w:val="left" w:pos="362"/>
                <w:tab w:val="left" w:pos="709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iCs/>
              </w:rPr>
            </w:pPr>
            <w:r w:rsidRPr="004808D7">
              <w:rPr>
                <w:sz w:val="22"/>
                <w:szCs w:val="22"/>
              </w:rPr>
              <w:t xml:space="preserve">2. Darbo loginis nuoseklumas ir integralumas. </w:t>
            </w:r>
          </w:p>
          <w:p w14:paraId="4A8A1EC9" w14:textId="4E992F20" w:rsidR="00F803C5" w:rsidRPr="000F478F" w:rsidRDefault="00F803C5" w:rsidP="000F478F">
            <w:pPr>
              <w:jc w:val="both"/>
              <w:rPr>
                <w:i/>
                <w:noProof/>
              </w:rPr>
            </w:pPr>
            <w:r w:rsidRP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60" w:type="dxa"/>
          </w:tcPr>
          <w:p w14:paraId="2FCBF484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3E702A38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0107E02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43BF007F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1182E606" w14:textId="77777777" w:rsidR="00F803C5" w:rsidRPr="009E31AA" w:rsidRDefault="00F803C5" w:rsidP="000006FB">
            <w:pPr>
              <w:rPr>
                <w:i/>
              </w:rPr>
            </w:pPr>
          </w:p>
          <w:p w14:paraId="65BF3E82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9E31AA" w14:paraId="65408F04" w14:textId="77777777" w:rsidTr="000F478F">
        <w:trPr>
          <w:trHeight w:val="1132"/>
        </w:trPr>
        <w:tc>
          <w:tcPr>
            <w:tcW w:w="7405" w:type="dxa"/>
          </w:tcPr>
          <w:p w14:paraId="196DE06F" w14:textId="3DFA83A5" w:rsidR="00F803C5" w:rsidRPr="004808D7" w:rsidRDefault="00F803C5" w:rsidP="000F478F">
            <w:pPr>
              <w:jc w:val="both"/>
            </w:pPr>
            <w:r w:rsidRPr="004808D7">
              <w:rPr>
                <w:sz w:val="22"/>
                <w:szCs w:val="22"/>
              </w:rPr>
              <w:t xml:space="preserve">3. Problemą aktualizuojančių teorinių koncepcijų pasirinkimas. Teorinės tyrimo prieigos ir autorinės pozicijos atskleidimas. Analizuojamą problemą tyrinėjančių šalies ir užsienio autorių reikšmingiausių ir naujausių mokslo darbų naudojimas. </w:t>
            </w:r>
            <w:r w:rsidRPr="000F478F">
              <w:rPr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60" w:type="dxa"/>
          </w:tcPr>
          <w:p w14:paraId="2747CFE0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08FE9E25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2B0595C9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104FF72C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66C9FA78" w14:textId="77777777" w:rsidR="00F803C5" w:rsidRPr="009E31AA" w:rsidRDefault="00F803C5" w:rsidP="000006FB">
            <w:pPr>
              <w:rPr>
                <w:i/>
              </w:rPr>
            </w:pPr>
          </w:p>
          <w:p w14:paraId="6D9AC33B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9E31AA" w14:paraId="55F0E62D" w14:textId="77777777" w:rsidTr="000F478F">
        <w:trPr>
          <w:trHeight w:val="1111"/>
        </w:trPr>
        <w:tc>
          <w:tcPr>
            <w:tcW w:w="7405" w:type="dxa"/>
          </w:tcPr>
          <w:p w14:paraId="78BB6B89" w14:textId="77777777" w:rsidR="00F803C5" w:rsidRPr="004808D7" w:rsidRDefault="00F803C5" w:rsidP="000006FB">
            <w:r w:rsidRPr="004808D7">
              <w:rPr>
                <w:sz w:val="22"/>
                <w:szCs w:val="22"/>
              </w:rPr>
              <w:t>4. Teorinių ir metodologinių tyrimo prielaidų atskleidimas, pasirinktos tyrimo strategijos (plano) aiškumas ir metodų tikslingumas. Tyrimo instrumentų metodologinė kokybė.</w:t>
            </w:r>
          </w:p>
          <w:p w14:paraId="491953DD" w14:textId="77777777" w:rsidR="00F803C5" w:rsidRPr="000F478F" w:rsidRDefault="00F803C5" w:rsidP="000F478F">
            <w:pPr>
              <w:jc w:val="both"/>
              <w:rPr>
                <w:i/>
              </w:rPr>
            </w:pPr>
            <w:r w:rsidRP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60" w:type="dxa"/>
          </w:tcPr>
          <w:p w14:paraId="6BB3311B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546FC142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E55E2E8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1FEEC7A2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266D542A" w14:textId="77777777" w:rsidR="00F803C5" w:rsidRPr="009E31AA" w:rsidRDefault="00F803C5" w:rsidP="000006FB">
            <w:pPr>
              <w:rPr>
                <w:i/>
              </w:rPr>
            </w:pPr>
          </w:p>
          <w:p w14:paraId="4B429F95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9E31AA" w14:paraId="54DC394F" w14:textId="77777777" w:rsidTr="000F478F">
        <w:trPr>
          <w:trHeight w:val="1128"/>
        </w:trPr>
        <w:tc>
          <w:tcPr>
            <w:tcW w:w="7405" w:type="dxa"/>
          </w:tcPr>
          <w:p w14:paraId="15BB3E64" w14:textId="77777777" w:rsidR="00F803C5" w:rsidRPr="004808D7" w:rsidRDefault="00F803C5" w:rsidP="000006FB">
            <w:pPr>
              <w:pStyle w:val="NormalWeb"/>
              <w:spacing w:before="0" w:beforeAutospacing="0" w:after="0" w:afterAutospacing="0"/>
              <w:jc w:val="both"/>
              <w:rPr>
                <w:lang w:val="pt-BR"/>
              </w:rPr>
            </w:pPr>
            <w:r w:rsidRPr="004808D7">
              <w:rPr>
                <w:sz w:val="22"/>
                <w:szCs w:val="22"/>
              </w:rPr>
              <w:lastRenderedPageBreak/>
              <w:t>5. Empirinio tyrimo duomenų analizės metodų taikymo kokybė. Empirinio tyrimo rezultatų interpretavimas nagrinėjamos problemos kontekste.</w:t>
            </w:r>
          </w:p>
          <w:p w14:paraId="4B554756" w14:textId="424D2B38" w:rsidR="00F803C5" w:rsidRPr="000F478F" w:rsidRDefault="00F803C5" w:rsidP="000F478F">
            <w:pPr>
              <w:jc w:val="both"/>
              <w:rPr>
                <w:i/>
              </w:rPr>
            </w:pPr>
            <w:r w:rsidRP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noProof/>
                <w:sz w:val="22"/>
                <w:szCs w:val="22"/>
              </w:rPr>
              <w:t>.</w:t>
            </w:r>
            <w:r w:rsidRPr="000F478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</w:tcPr>
          <w:p w14:paraId="219E933F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5B83AC08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56B8812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694FFA38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3C3F34D3" w14:textId="77777777" w:rsidR="00F803C5" w:rsidRPr="009E31AA" w:rsidRDefault="00F803C5" w:rsidP="000006FB">
            <w:pPr>
              <w:rPr>
                <w:i/>
              </w:rPr>
            </w:pPr>
          </w:p>
          <w:p w14:paraId="5FDA4D81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9E31AA" w14:paraId="4FB14B4A" w14:textId="77777777" w:rsidTr="000F478F">
        <w:trPr>
          <w:trHeight w:val="1130"/>
        </w:trPr>
        <w:tc>
          <w:tcPr>
            <w:tcW w:w="7405" w:type="dxa"/>
          </w:tcPr>
          <w:p w14:paraId="1F8F77AC" w14:textId="77777777" w:rsidR="00F803C5" w:rsidRPr="004808D7" w:rsidRDefault="00F803C5" w:rsidP="000006FB">
            <w:pPr>
              <w:jc w:val="both"/>
            </w:pPr>
            <w:r w:rsidRPr="004808D7">
              <w:rPr>
                <w:sz w:val="22"/>
                <w:szCs w:val="22"/>
              </w:rPr>
              <w:t>6. Darbo išvadų, apibendrinimo atitiktis probleminiams klausimams, hipotezei, (jei buvo formuluota), gebėjimas kritiškai vertinti tyrimo rezultatus. Teikiamų rekomendacijų konkretumas, pagrįstumas ir realumas</w:t>
            </w:r>
          </w:p>
          <w:p w14:paraId="5DEED182" w14:textId="77777777" w:rsidR="00F803C5" w:rsidRPr="000F478F" w:rsidRDefault="00F803C5" w:rsidP="000F478F">
            <w:pPr>
              <w:jc w:val="both"/>
              <w:rPr>
                <w:i/>
              </w:rPr>
            </w:pPr>
            <w:r w:rsidRPr="000F478F">
              <w:rPr>
                <w:i/>
                <w:noProof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F478F">
              <w:rPr>
                <w:i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60" w:type="dxa"/>
          </w:tcPr>
          <w:p w14:paraId="2DE841C4" w14:textId="77777777" w:rsidR="00F803C5" w:rsidRPr="005B761F" w:rsidRDefault="00F803C5" w:rsidP="000006FB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 w:val="0"/>
                <w:i/>
              </w:rPr>
            </w:pPr>
            <w:r w:rsidRPr="005B761F">
              <w:rPr>
                <w:b w:val="0"/>
                <w:i/>
                <w:iCs/>
              </w:rPr>
              <w:sym w:font="Wingdings" w:char="F071"/>
            </w:r>
            <w:r w:rsidRPr="005B761F">
              <w:rPr>
                <w:i/>
                <w:iCs/>
              </w:rPr>
              <w:t xml:space="preserve"> </w:t>
            </w:r>
            <w:r w:rsidRPr="005B761F">
              <w:rPr>
                <w:b w:val="0"/>
                <w:i/>
                <w:iCs/>
              </w:rPr>
              <w:t xml:space="preserve">  </w:t>
            </w:r>
            <w:r w:rsidRPr="005B761F">
              <w:rPr>
                <w:b w:val="0"/>
                <w:i/>
              </w:rPr>
              <w:t xml:space="preserve">Tinkamas </w:t>
            </w:r>
          </w:p>
          <w:p w14:paraId="422FD85D" w14:textId="77777777" w:rsidR="00F803C5" w:rsidRPr="005B761F" w:rsidRDefault="00F803C5" w:rsidP="000006FB">
            <w:pPr>
              <w:rPr>
                <w:i/>
                <w:iCs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rStyle w:val="hw"/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Iš esmės tinkamas</w:t>
            </w:r>
            <w:r w:rsidRPr="005B761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08C51A9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Tik iš dalies tinkamas</w:t>
            </w:r>
          </w:p>
          <w:p w14:paraId="62258D1F" w14:textId="77777777" w:rsidR="00F803C5" w:rsidRPr="005B761F" w:rsidRDefault="00F803C5" w:rsidP="000006FB">
            <w:pPr>
              <w:rPr>
                <w:i/>
              </w:rPr>
            </w:pPr>
            <w:r w:rsidRPr="005B761F">
              <w:rPr>
                <w:i/>
                <w:iCs/>
                <w:sz w:val="22"/>
                <w:szCs w:val="22"/>
              </w:rPr>
              <w:sym w:font="Wingdings" w:char="F071"/>
            </w:r>
            <w:r w:rsidRPr="005B761F">
              <w:rPr>
                <w:i/>
                <w:iCs/>
                <w:sz w:val="22"/>
                <w:szCs w:val="22"/>
              </w:rPr>
              <w:t xml:space="preserve">   </w:t>
            </w:r>
            <w:r w:rsidRPr="005B761F">
              <w:rPr>
                <w:i/>
                <w:sz w:val="22"/>
                <w:szCs w:val="22"/>
              </w:rPr>
              <w:t>Netinkamas</w:t>
            </w:r>
          </w:p>
          <w:p w14:paraId="55A3B81A" w14:textId="77777777" w:rsidR="00F803C5" w:rsidRPr="009E31AA" w:rsidRDefault="00F803C5" w:rsidP="000006FB">
            <w:pPr>
              <w:rPr>
                <w:i/>
              </w:rPr>
            </w:pPr>
          </w:p>
          <w:p w14:paraId="04DA8F1F" w14:textId="77777777" w:rsidR="00F803C5" w:rsidRPr="009E31AA" w:rsidRDefault="00F803C5" w:rsidP="000006FB">
            <w:pPr>
              <w:rPr>
                <w:i/>
              </w:rPr>
            </w:pPr>
          </w:p>
        </w:tc>
      </w:tr>
      <w:tr w:rsidR="00F803C5" w:rsidRPr="004808D7" w14:paraId="175A97EB" w14:textId="77777777" w:rsidTr="000006FB">
        <w:trPr>
          <w:trHeight w:val="964"/>
        </w:trPr>
        <w:tc>
          <w:tcPr>
            <w:tcW w:w="10065" w:type="dxa"/>
            <w:gridSpan w:val="2"/>
          </w:tcPr>
          <w:p w14:paraId="5FA2241B" w14:textId="77777777" w:rsidR="00F803C5" w:rsidRPr="004808D7" w:rsidRDefault="00F803C5" w:rsidP="000006FB">
            <w:pPr>
              <w:pStyle w:val="BodyTextIndent"/>
              <w:spacing w:after="0"/>
              <w:ind w:left="0"/>
              <w:rPr>
                <w:i/>
                <w:sz w:val="22"/>
                <w:szCs w:val="22"/>
                <w:lang w:val="lt-LT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7371"/>
              <w:gridCol w:w="2552"/>
            </w:tblGrid>
            <w:tr w:rsidR="000F478F" w:rsidRPr="000F478F" w14:paraId="66423830" w14:textId="77777777" w:rsidTr="000006FB">
              <w:trPr>
                <w:trHeight w:val="1130"/>
              </w:trPr>
              <w:tc>
                <w:tcPr>
                  <w:tcW w:w="7371" w:type="dxa"/>
                </w:tcPr>
                <w:p w14:paraId="6A5011EC" w14:textId="77777777" w:rsidR="00F803C5" w:rsidRPr="000F478F" w:rsidRDefault="00F803C5" w:rsidP="000006FB">
                  <w:pPr>
                    <w:spacing w:line="236" w:lineRule="auto"/>
                    <w:ind w:right="424"/>
                    <w:jc w:val="both"/>
                  </w:pPr>
                  <w:r w:rsidRPr="000F478F">
                    <w:rPr>
                      <w:sz w:val="22"/>
                      <w:szCs w:val="22"/>
                    </w:rPr>
                    <w:t>7. Darbo įforminimo atitikimas nustatytiems reikalavimams. Kalbos taisyklingumas (rašybos, skyrybos, kalbos klaidos, stiliaus tinkamumas, kompiuteriu renkamo teksto taisyklių laikymasis).</w:t>
                  </w:r>
                </w:p>
                <w:p w14:paraId="1CCC7D14" w14:textId="77777777" w:rsidR="00F803C5" w:rsidRPr="000F478F" w:rsidRDefault="00F803C5" w:rsidP="000006FB">
                  <w:pPr>
                    <w:tabs>
                      <w:tab w:val="left" w:pos="7820"/>
                    </w:tabs>
                    <w:spacing w:line="240" w:lineRule="atLeast"/>
                    <w:ind w:left="100" w:right="424"/>
                    <w:jc w:val="both"/>
                    <w:rPr>
                      <w:sz w:val="18"/>
                      <w:szCs w:val="18"/>
                    </w:rPr>
                  </w:pPr>
                </w:p>
                <w:p w14:paraId="6BE722C8" w14:textId="77777777" w:rsidR="00F803C5" w:rsidRPr="000F478F" w:rsidRDefault="00F803C5" w:rsidP="000F478F">
                  <w:pPr>
                    <w:jc w:val="both"/>
                  </w:pPr>
                  <w:r w:rsidRPr="000F478F">
                    <w:rPr>
                      <w:sz w:val="18"/>
                      <w:szCs w:val="18"/>
                    </w:rPr>
                    <w:t>*Vykstant Valstybinės lietuvių kalbos komisijos projektui „Valstybinės kalbos vartojimas, norminimas ir sklaida“ MD kalbos taisyklingumą vertina ir raštingumo lygį (</w:t>
                  </w:r>
                  <w:r w:rsidRPr="000F478F">
                    <w:rPr>
                      <w:i/>
                      <w:sz w:val="18"/>
                      <w:szCs w:val="18"/>
                    </w:rPr>
                    <w:t>aukštas / vidutinis / žemas</w:t>
                  </w:r>
                  <w:r w:rsidRPr="000F478F">
                    <w:rPr>
                      <w:sz w:val="18"/>
                      <w:szCs w:val="18"/>
                    </w:rPr>
                    <w:t>) nustato skirtas lituanistas. MD gynimo komisija, remdamasi Rektoriaus įsakymu, turi atsižvelgti į lituanisto parengtą išvadą apie MD taisyklingumą.</w:t>
                  </w:r>
                </w:p>
                <w:p w14:paraId="1D2E4D8B" w14:textId="77777777" w:rsidR="00F803C5" w:rsidRPr="000F478F" w:rsidRDefault="00F803C5" w:rsidP="000F478F">
                  <w:r w:rsidRPr="000F478F">
                    <w:rPr>
                      <w:noProof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552" w:type="dxa"/>
                </w:tcPr>
                <w:p w14:paraId="14617CC7" w14:textId="77777777" w:rsidR="00F803C5" w:rsidRPr="000F478F" w:rsidRDefault="00F803C5" w:rsidP="000006FB">
                  <w:pPr>
                    <w:outlineLvl w:val="5"/>
                    <w:rPr>
                      <w:bCs/>
                      <w:i/>
                    </w:rPr>
                  </w:pPr>
                  <w:r w:rsidRPr="000F478F">
                    <w:rPr>
                      <w:bCs/>
                      <w:i/>
                      <w:iCs/>
                      <w:sz w:val="22"/>
                      <w:szCs w:val="22"/>
                    </w:rPr>
                    <w:sym w:font="Wingdings" w:char="F071"/>
                  </w:r>
                  <w:r w:rsidRPr="000F478F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F478F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 </w:t>
                  </w:r>
                  <w:r w:rsidRPr="000F478F">
                    <w:rPr>
                      <w:bCs/>
                      <w:i/>
                      <w:sz w:val="22"/>
                      <w:szCs w:val="22"/>
                    </w:rPr>
                    <w:t xml:space="preserve">Tinkamas </w:t>
                  </w:r>
                </w:p>
                <w:p w14:paraId="7AFCA95E" w14:textId="77777777" w:rsidR="00F803C5" w:rsidRPr="000F478F" w:rsidRDefault="00F803C5" w:rsidP="000006FB">
                  <w:pPr>
                    <w:rPr>
                      <w:i/>
                      <w:iCs/>
                    </w:rPr>
                  </w:pPr>
                  <w:r w:rsidRPr="000F478F">
                    <w:rPr>
                      <w:i/>
                      <w:iCs/>
                      <w:sz w:val="22"/>
                      <w:szCs w:val="22"/>
                    </w:rPr>
                    <w:sym w:font="Wingdings" w:char="F071"/>
                  </w:r>
                  <w:r w:rsidRPr="000F478F">
                    <w:rPr>
                      <w:i/>
                      <w:iCs/>
                      <w:sz w:val="22"/>
                      <w:szCs w:val="22"/>
                    </w:rPr>
                    <w:t xml:space="preserve">   </w:t>
                  </w:r>
                  <w:r w:rsidRPr="000F478F">
                    <w:rPr>
                      <w:bCs/>
                      <w:i/>
                      <w:sz w:val="22"/>
                      <w:szCs w:val="22"/>
                    </w:rPr>
                    <w:t>Iš esmės tinkamas</w:t>
                  </w:r>
                  <w:r w:rsidRPr="000F478F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  <w:p w14:paraId="49FA7B80" w14:textId="77777777" w:rsidR="00F803C5" w:rsidRPr="000F478F" w:rsidRDefault="00F803C5" w:rsidP="000006FB">
                  <w:pPr>
                    <w:rPr>
                      <w:i/>
                    </w:rPr>
                  </w:pPr>
                  <w:r w:rsidRPr="000F478F">
                    <w:rPr>
                      <w:i/>
                      <w:iCs/>
                      <w:sz w:val="22"/>
                      <w:szCs w:val="22"/>
                    </w:rPr>
                    <w:sym w:font="Wingdings" w:char="F071"/>
                  </w:r>
                  <w:r w:rsidRPr="000F478F">
                    <w:rPr>
                      <w:i/>
                      <w:iCs/>
                      <w:sz w:val="22"/>
                      <w:szCs w:val="22"/>
                    </w:rPr>
                    <w:t xml:space="preserve">  Tik iš dalies tinkamas</w:t>
                  </w:r>
                </w:p>
                <w:p w14:paraId="2960BD2F" w14:textId="77777777" w:rsidR="00F803C5" w:rsidRPr="000F478F" w:rsidRDefault="00F803C5" w:rsidP="000006FB">
                  <w:pPr>
                    <w:rPr>
                      <w:i/>
                    </w:rPr>
                  </w:pPr>
                  <w:r w:rsidRPr="000F478F">
                    <w:rPr>
                      <w:i/>
                      <w:iCs/>
                      <w:sz w:val="22"/>
                      <w:szCs w:val="22"/>
                    </w:rPr>
                    <w:sym w:font="Wingdings" w:char="F071"/>
                  </w:r>
                  <w:r w:rsidRPr="000F478F">
                    <w:rPr>
                      <w:i/>
                      <w:iCs/>
                      <w:sz w:val="22"/>
                      <w:szCs w:val="22"/>
                    </w:rPr>
                    <w:t xml:space="preserve">   </w:t>
                  </w:r>
                  <w:r w:rsidRPr="000F478F">
                    <w:rPr>
                      <w:i/>
                      <w:sz w:val="22"/>
                      <w:szCs w:val="22"/>
                    </w:rPr>
                    <w:t>Netinkamas</w:t>
                  </w:r>
                </w:p>
                <w:p w14:paraId="7F468C30" w14:textId="77777777" w:rsidR="00F803C5" w:rsidRPr="000F478F" w:rsidRDefault="00F803C5" w:rsidP="000006FB">
                  <w:pPr>
                    <w:rPr>
                      <w:i/>
                    </w:rPr>
                  </w:pPr>
                </w:p>
                <w:p w14:paraId="507CFEA7" w14:textId="77777777" w:rsidR="00F803C5" w:rsidRPr="000F478F" w:rsidRDefault="00F803C5" w:rsidP="000006FB">
                  <w:pPr>
                    <w:rPr>
                      <w:i/>
                    </w:rPr>
                  </w:pPr>
                </w:p>
              </w:tc>
            </w:tr>
          </w:tbl>
          <w:p w14:paraId="15727C61" w14:textId="77777777" w:rsidR="00F803C5" w:rsidRPr="000F478F" w:rsidRDefault="00F803C5" w:rsidP="000006FB">
            <w:pPr>
              <w:pStyle w:val="BodyTextIndent"/>
              <w:spacing w:after="0"/>
              <w:ind w:left="0"/>
              <w:rPr>
                <w:i/>
                <w:iCs/>
                <w:sz w:val="22"/>
                <w:szCs w:val="22"/>
                <w:lang w:val="lt-LT"/>
              </w:rPr>
            </w:pPr>
          </w:p>
          <w:p w14:paraId="641A6124" w14:textId="77777777" w:rsidR="00F803C5" w:rsidRPr="000F478F" w:rsidRDefault="00F803C5" w:rsidP="000006FB">
            <w:pPr>
              <w:pStyle w:val="BodyTextIndent"/>
              <w:spacing w:after="0"/>
              <w:ind w:left="0"/>
              <w:rPr>
                <w:i/>
                <w:iCs/>
                <w:sz w:val="22"/>
                <w:szCs w:val="22"/>
                <w:lang w:val="lt-LT"/>
              </w:rPr>
            </w:pPr>
            <w:r w:rsidRPr="000F478F">
              <w:rPr>
                <w:iCs/>
                <w:sz w:val="22"/>
                <w:szCs w:val="22"/>
                <w:lang w:val="lt-LT"/>
              </w:rPr>
              <w:t>8</w:t>
            </w:r>
            <w:r w:rsidRPr="000F478F">
              <w:rPr>
                <w:i/>
                <w:iCs/>
                <w:sz w:val="22"/>
                <w:szCs w:val="22"/>
                <w:lang w:val="lt-LT"/>
              </w:rPr>
              <w:t xml:space="preserve">. Kiti pastebėjimai, recenzento klausimai. </w:t>
            </w:r>
          </w:p>
          <w:p w14:paraId="630D7BFE" w14:textId="77777777" w:rsidR="00F803C5" w:rsidRPr="000F478F" w:rsidRDefault="00F803C5" w:rsidP="000F478F">
            <w:pPr>
              <w:pStyle w:val="BodyTextIndent"/>
              <w:spacing w:after="0"/>
              <w:ind w:left="0"/>
              <w:jc w:val="both"/>
              <w:rPr>
                <w:i/>
                <w:iCs/>
                <w:sz w:val="22"/>
                <w:szCs w:val="22"/>
                <w:lang w:val="lt-LT"/>
              </w:rPr>
            </w:pPr>
            <w:bookmarkStart w:id="1" w:name="_GoBack"/>
            <w:r w:rsidRPr="000F478F">
              <w:rPr>
                <w:i/>
                <w:noProof/>
                <w:sz w:val="22"/>
                <w:szCs w:val="22"/>
                <w:lang w:val="lt-L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bookmarkEnd w:id="1"/>
          </w:p>
        </w:tc>
      </w:tr>
    </w:tbl>
    <w:p w14:paraId="0982C148" w14:textId="77777777" w:rsidR="00F803C5" w:rsidRPr="004808D7" w:rsidRDefault="00F803C5" w:rsidP="00F803C5">
      <w:pPr>
        <w:rPr>
          <w:sz w:val="22"/>
          <w:szCs w:val="22"/>
          <w:lang w:val="pt-BR"/>
        </w:rPr>
      </w:pPr>
    </w:p>
    <w:p w14:paraId="783D8F64" w14:textId="77777777" w:rsidR="00F803C5" w:rsidRPr="004808D7" w:rsidRDefault="00F803C5" w:rsidP="00F803C5">
      <w:pPr>
        <w:rPr>
          <w:i/>
          <w:iCs/>
          <w:sz w:val="22"/>
          <w:szCs w:val="22"/>
          <w:lang w:val="pt-BR"/>
        </w:rPr>
      </w:pPr>
      <w:r w:rsidRPr="004808D7">
        <w:rPr>
          <w:i/>
          <w:iCs/>
          <w:sz w:val="22"/>
          <w:szCs w:val="22"/>
          <w:lang w:val="pt-BR"/>
        </w:rPr>
        <w:t>Išvados apie magistro darbo reikalavimų atitikimą ir galimybę viešai ginti</w:t>
      </w:r>
    </w:p>
    <w:p w14:paraId="6CB2DDEB" w14:textId="77777777" w:rsidR="00F803C5" w:rsidRPr="004808D7" w:rsidRDefault="00F803C5" w:rsidP="00F803C5">
      <w:pPr>
        <w:rPr>
          <w:i/>
          <w:iCs/>
          <w:sz w:val="22"/>
          <w:szCs w:val="22"/>
        </w:rPr>
      </w:pPr>
      <w:r w:rsidRPr="004808D7">
        <w:rPr>
          <w:i/>
          <w:iCs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i/>
          <w:iCs/>
          <w:sz w:val="22"/>
          <w:szCs w:val="22"/>
        </w:rPr>
        <w:t>.........................</w:t>
      </w:r>
    </w:p>
    <w:p w14:paraId="24F88479" w14:textId="77777777" w:rsidR="00F803C5" w:rsidRPr="004808D7" w:rsidRDefault="00F803C5" w:rsidP="00F803C5">
      <w:pPr>
        <w:rPr>
          <w:i/>
          <w:iCs/>
          <w:sz w:val="22"/>
          <w:szCs w:val="22"/>
        </w:rPr>
      </w:pPr>
    </w:p>
    <w:p w14:paraId="6CFED26C" w14:textId="77777777" w:rsidR="00F803C5" w:rsidRPr="004808D7" w:rsidRDefault="00F803C5" w:rsidP="00F803C5">
      <w:pPr>
        <w:rPr>
          <w:i/>
          <w:sz w:val="22"/>
          <w:szCs w:val="22"/>
        </w:rPr>
      </w:pPr>
      <w:r w:rsidRPr="004808D7">
        <w:rPr>
          <w:i/>
          <w:sz w:val="22"/>
          <w:szCs w:val="22"/>
        </w:rPr>
        <w:t>Siūlomas magistro darbo vertinimas   ........</w:t>
      </w:r>
      <w:r>
        <w:rPr>
          <w:i/>
          <w:sz w:val="22"/>
          <w:szCs w:val="22"/>
        </w:rPr>
        <w:t>....................................................</w:t>
      </w:r>
      <w:r w:rsidRPr="004808D7">
        <w:rPr>
          <w:i/>
          <w:sz w:val="22"/>
          <w:szCs w:val="22"/>
        </w:rPr>
        <w:t>.</w:t>
      </w:r>
    </w:p>
    <w:p w14:paraId="06DB697B" w14:textId="77777777" w:rsidR="00F803C5" w:rsidRPr="004808D7" w:rsidRDefault="00F803C5" w:rsidP="00F803C5">
      <w:pPr>
        <w:rPr>
          <w:i/>
          <w:iCs/>
          <w:sz w:val="22"/>
          <w:szCs w:val="22"/>
        </w:rPr>
      </w:pPr>
    </w:p>
    <w:p w14:paraId="2A6A4B0F" w14:textId="148F2727" w:rsidR="00F803C5" w:rsidRPr="004808D7" w:rsidRDefault="00F803C5" w:rsidP="00F803C5">
      <w:pPr>
        <w:rPr>
          <w:sz w:val="22"/>
          <w:szCs w:val="22"/>
        </w:rPr>
      </w:pPr>
      <w:r w:rsidRPr="004808D7">
        <w:rPr>
          <w:i/>
          <w:iCs/>
          <w:sz w:val="22"/>
          <w:szCs w:val="22"/>
        </w:rPr>
        <w:t xml:space="preserve">Magistro darbo recenzentas </w:t>
      </w:r>
      <w:r w:rsidRPr="004808D7">
        <w:rPr>
          <w:sz w:val="22"/>
          <w:szCs w:val="22"/>
        </w:rPr>
        <w:t>_________________________________</w:t>
      </w:r>
      <w:r w:rsidRPr="000F478F">
        <w:rPr>
          <w:sz w:val="22"/>
          <w:szCs w:val="22"/>
        </w:rPr>
        <w:t xml:space="preserve">_____ </w:t>
      </w:r>
    </w:p>
    <w:p w14:paraId="4ACE3AD7" w14:textId="77777777" w:rsidR="00F803C5" w:rsidRPr="004808D7" w:rsidRDefault="00F803C5" w:rsidP="00F803C5">
      <w:pPr>
        <w:rPr>
          <w:sz w:val="21"/>
          <w:szCs w:val="21"/>
        </w:rPr>
      </w:pPr>
      <w:r w:rsidRPr="004808D7">
        <w:rPr>
          <w:sz w:val="21"/>
          <w:szCs w:val="21"/>
        </w:rPr>
        <w:t xml:space="preserve">                                                               (pareigos, parašas, vardas, pavardė)</w:t>
      </w:r>
    </w:p>
    <w:p w14:paraId="64B43361" w14:textId="77777777" w:rsidR="00215FD2" w:rsidRDefault="00215FD2"/>
    <w:sectPr w:rsidR="00215FD2" w:rsidSect="004808D7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EC4"/>
    <w:multiLevelType w:val="multilevel"/>
    <w:tmpl w:val="04270027"/>
    <w:lvl w:ilvl="0">
      <w:start w:val="1"/>
      <w:numFmt w:val="upperRoman"/>
      <w:pStyle w:val="Heading1"/>
      <w:lvlText w:val="%1."/>
      <w:lvlJc w:val="left"/>
      <w:pPr>
        <w:tabs>
          <w:tab w:val="num" w:pos="2912"/>
        </w:tabs>
        <w:ind w:left="2552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C5"/>
    <w:rsid w:val="000F478F"/>
    <w:rsid w:val="00215FD2"/>
    <w:rsid w:val="002C1D4B"/>
    <w:rsid w:val="003E61C8"/>
    <w:rsid w:val="005474A2"/>
    <w:rsid w:val="00765CE9"/>
    <w:rsid w:val="007F3107"/>
    <w:rsid w:val="00D50CE0"/>
    <w:rsid w:val="00ED3578"/>
    <w:rsid w:val="00F8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A55C"/>
  <w15:docId w15:val="{A6537397-9ED1-48C6-B8F5-1F68293F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F803C5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803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03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03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803C5"/>
    <w:pPr>
      <w:keepNext/>
      <w:numPr>
        <w:ilvl w:val="4"/>
        <w:numId w:val="1"/>
      </w:numPr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803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803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803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803C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03C5"/>
    <w:rPr>
      <w:rFonts w:ascii="Arial" w:eastAsia="Times New Roman" w:hAnsi="Arial" w:cs="Times New Roman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F803C5"/>
    <w:rPr>
      <w:rFonts w:ascii="Arial" w:eastAsia="Times New Roman" w:hAnsi="Arial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F803C5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F803C5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F803C5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6Char">
    <w:name w:val="Heading 6 Char"/>
    <w:basedOn w:val="DefaultParagraphFont"/>
    <w:link w:val="Heading6"/>
    <w:rsid w:val="00F803C5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F803C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F803C5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F803C5"/>
    <w:rPr>
      <w:rFonts w:ascii="Arial" w:eastAsia="Times New Roman" w:hAnsi="Arial" w:cs="Times New Roman"/>
      <w:lang w:val="lt-LT" w:eastAsia="lt-LT"/>
    </w:rPr>
  </w:style>
  <w:style w:type="paragraph" w:styleId="NormalWeb">
    <w:name w:val="Normal (Web)"/>
    <w:basedOn w:val="Normal"/>
    <w:rsid w:val="00F803C5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F803C5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F803C5"/>
    <w:rPr>
      <w:rFonts w:ascii="Times New Roman" w:eastAsia="Times New Roman" w:hAnsi="Times New Roman" w:cs="Times New Roman"/>
      <w:b/>
      <w:bCs/>
      <w:sz w:val="32"/>
      <w:szCs w:val="24"/>
      <w:lang w:val="lt-LT"/>
    </w:rPr>
  </w:style>
  <w:style w:type="character" w:customStyle="1" w:styleId="hw">
    <w:name w:val="hw"/>
    <w:rsid w:val="00F803C5"/>
    <w:rPr>
      <w:rFonts w:ascii="Arial" w:hAnsi="Arial" w:cs="Arial" w:hint="default"/>
      <w:b/>
      <w:bCs/>
      <w:color w:val="A52A2A"/>
    </w:rPr>
  </w:style>
  <w:style w:type="paragraph" w:styleId="BodyTextIndent">
    <w:name w:val="Body Text Indent"/>
    <w:basedOn w:val="Normal"/>
    <w:link w:val="BodyTextIndentChar"/>
    <w:rsid w:val="00F803C5"/>
    <w:pPr>
      <w:spacing w:after="120"/>
      <w:ind w:left="283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803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dcterms:created xsi:type="dcterms:W3CDTF">2020-12-18T09:31:00Z</dcterms:created>
  <dcterms:modified xsi:type="dcterms:W3CDTF">2020-12-18T09:34:00Z</dcterms:modified>
</cp:coreProperties>
</file>